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400" w:leftChars="0" w:right="-1000" w:rightChars="-500"/>
        <w:jc w:val="both"/>
        <w:textAlignment w:val="auto"/>
        <w:outlineLvl w:val="0"/>
        <w:rPr>
          <w:rFonts w:hint="default" w:ascii="Times New Roman" w:hAnsi="Times New Roman"/>
          <w:b/>
          <w:bCs/>
          <w:color w:val="2E75B6" w:themeColor="accent1" w:themeShade="BF"/>
          <w:sz w:val="26"/>
          <w:szCs w:val="26"/>
          <w:lang w:val="en-US"/>
        </w:rPr>
      </w:pPr>
      <w:bookmarkStart w:id="0" w:name="_Toc3553"/>
      <w:bookmarkStart w:id="1" w:name="_Toc17829"/>
      <w:bookmarkStart w:id="2" w:name="_Toc27519"/>
      <w:r>
        <w:rPr>
          <w:rFonts w:hint="default" w:ascii="Times New Roman" w:hAnsi="Times New Roman"/>
          <w:b/>
          <w:bCs/>
          <w:color w:val="2E75B6" w:themeColor="accent1" w:themeShade="BF"/>
          <w:sz w:val="26"/>
          <w:szCs w:val="26"/>
          <w:lang w:val="en-US"/>
        </w:rPr>
        <w:t>MẪU QUYẾT ĐỊNH CHUYỂN NGƯỜI LAO ĐỘNG LÀM VIỆC KHÁC SO VỚI HỢP ĐỒNG LAO ĐỘNG</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both"/>
        <w:textAlignment w:val="auto"/>
        <w:outlineLvl w:val="0"/>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right="-1000" w:rightChars="-500" w:firstLine="2730" w:firstLineChars="10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[ngày] [tháng] [năm]</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 CỦA [TỔNG) GIÁM ĐỐC</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TY…………..</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0" w:leftChars="100" w:right="-1000" w:rightChars="-500" w:firstLine="0" w:firstLineChars="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(V/v: Chuyển Người lao động làm công việc khác </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0" w:leftChars="100" w:right="-1000" w:rightChars="-500" w:firstLine="0" w:firstLineChars="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so với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Căn cứ vào Bộ luật Lao động được Quốc hội thông qua vào ngày 20 tháng 11 năm 2019 và có hiệu lực kể từ ngày 01 tháng 01 năm 2021; </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Nghị định số 145/2020/NĐ-CP của Chính phủ ngày 14 tháng 12 năm 2020;</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Hợp đồng lao động số……… và Phụ lục Hợp đồng lao động số………… giữa [Tên Công ty] (“Công ty”) và [Ông]/[Bà] ……………. vào [ngày] [tháng] [năm] (“Hợp đồng lao động”); và</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Căn cứ Thông báo số……….. của Công ty ngày </w:t>
      </w:r>
      <w:r>
        <w:rPr>
          <w:rFonts w:hint="default" w:ascii="Times New Roman" w:hAnsi="Times New Roman"/>
          <w:b w:val="0"/>
          <w:bCs w:val="0"/>
          <w:color w:val="000000" w:themeColor="text1"/>
          <w:sz w:val="26"/>
          <w:szCs w:val="26"/>
          <w:lang w:val="en-US"/>
          <w14:textFill>
            <w14:solidFill>
              <w14:schemeClr w14:val="tx1"/>
            </w14:solidFill>
          </w14:textFill>
        </w:rPr>
        <w:t>[•]</w:t>
      </w:r>
      <w:r>
        <w:rPr>
          <w:rFonts w:hint="default" w:ascii="Times New Roman" w:hAnsi="Times New Roman"/>
          <w:b w:val="0"/>
          <w:bCs w:val="0"/>
          <w:i w:val="0"/>
          <w:iCs w:val="0"/>
          <w:color w:val="000000" w:themeColor="text1"/>
          <w:sz w:val="26"/>
          <w:szCs w:val="26"/>
          <w:lang w:val="en-US"/>
          <w14:textFill>
            <w14:solidFill>
              <w14:schemeClr w14:val="tx1"/>
            </w14:solidFill>
          </w14:textFill>
        </w:rPr>
        <w:t>về việc chuyển Người lao động làm công việc khác so với hợp đồng lao động (</w:t>
      </w:r>
      <w:r>
        <w:rPr>
          <w:rFonts w:hint="default" w:ascii="Times New Roman" w:hAnsi="Times New Roman"/>
          <w:b/>
          <w:bCs/>
          <w:i w:val="0"/>
          <w:iCs w:val="0"/>
          <w:color w:val="000000" w:themeColor="text1"/>
          <w:sz w:val="26"/>
          <w:szCs w:val="26"/>
          <w:lang w:val="en-US"/>
          <w14:textFill>
            <w14:solidFill>
              <w14:schemeClr w14:val="tx1"/>
            </w14:solidFill>
          </w14:textFill>
        </w:rPr>
        <w:t>“Thông báo”</w:t>
      </w: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203" w:leftChars="0" w:right="-1000" w:rightChars="-500" w:hanging="197" w:firstLineChars="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506" w:leftChars="-199" w:right="-1000" w:rightChars="-500" w:hanging="904" w:hangingChars="3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2E75B6" w:themeColor="accent1" w:themeShade="BF"/>
          <w:sz w:val="26"/>
          <w:szCs w:val="26"/>
          <w:lang w:val="en-US"/>
        </w:rPr>
        <w:t>Điều 1:</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Chuyển người lao động (</w:t>
      </w:r>
      <w:r>
        <w:rPr>
          <w:rFonts w:hint="default" w:ascii="Times New Roman" w:hAnsi="Times New Roman"/>
          <w:b/>
          <w:bCs/>
          <w:i w:val="0"/>
          <w:iCs w:val="0"/>
          <w:color w:val="000000" w:themeColor="text1"/>
          <w:sz w:val="26"/>
          <w:szCs w:val="26"/>
          <w:lang w:val="en-US"/>
          <w14:textFill>
            <w14:solidFill>
              <w14:schemeClr w14:val="tx1"/>
            </w14:solidFill>
          </w14:textFill>
        </w:rPr>
        <w:t>“Người lao động”)</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có tên và thông tin như sau: </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right="-1000" w:rightChars="-500" w:firstLine="520" w:firstLineChars="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w: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before="120" w:after="120" w:line="240" w:lineRule="auto"/>
        <w:ind w:left="-800" w:leftChars="-400" w:right="-1000" w:rightChars="-500" w:firstLine="998" w:firstLineChars="384"/>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[Giấy CMND]/[Căn cước công dân/ :………………………</w:t>
      </w:r>
    </w:p>
    <w:p>
      <w:pPr>
        <w:keepNext w:val="0"/>
        <w:keepLines w:val="0"/>
        <w:pageBreakBefore w:val="0"/>
        <w:widowControl/>
        <w:kinsoku/>
        <w:wordWrap/>
        <w:overflowPunct/>
        <w:topLinePunct w:val="0"/>
        <w:autoSpaceDE/>
        <w:autoSpaceDN/>
        <w:bidi w:val="0"/>
        <w:adjustRightInd/>
        <w:snapToGrid/>
        <w:spacing w:before="120" w:after="120" w:line="240" w:lineRule="auto"/>
        <w:ind w:left="-800" w:leftChars="-400" w:right="-1000" w:rightChars="-500" w:firstLine="998" w:firstLineChars="38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[Hộ chiếu] số                            </w:t>
      </w:r>
    </w:p>
    <w:p>
      <w:pPr>
        <w:keepNext w:val="0"/>
        <w:keepLines w:val="0"/>
        <w:pageBreakBefore w:val="0"/>
        <w:widowControl/>
        <w:kinsoku/>
        <w:wordWrap/>
        <w:overflowPunct/>
        <w:topLinePunct w:val="0"/>
        <w:autoSpaceDE/>
        <w:autoSpaceDN/>
        <w:bidi w:val="0"/>
        <w:adjustRightInd/>
        <w:snapToGrid/>
        <w:spacing w:before="120" w:after="120" w:line="240" w:lineRule="auto"/>
        <w:ind w:left="-800" w:leftChars="-400" w:right="-1000" w:rightChars="-500" w:firstLine="998" w:firstLineChars="38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tháng năm sinh             :………………………</w:t>
      </w:r>
    </w:p>
    <w:p>
      <w:pPr>
        <w:keepNext w:val="0"/>
        <w:keepLines w:val="0"/>
        <w:pageBreakBefore w:val="0"/>
        <w:widowControl/>
        <w:kinsoku/>
        <w:wordWrap/>
        <w:overflowPunct/>
        <w:topLinePunct w:val="0"/>
        <w:autoSpaceDE/>
        <w:autoSpaceDN/>
        <w:bidi w:val="0"/>
        <w:adjustRightInd/>
        <w:snapToGrid/>
        <w:spacing w:before="120" w:after="120" w:line="240" w:lineRule="auto"/>
        <w:ind w:left="-800" w:leftChars="-400" w:right="-1000" w:rightChars="-500" w:firstLine="998" w:firstLineChars="38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Vị trí công việc                  :…………………….</w:t>
      </w:r>
    </w:p>
    <w:p>
      <w:pPr>
        <w:keepNext w:val="0"/>
        <w:keepLines w:val="0"/>
        <w:pageBreakBefore w:val="0"/>
        <w:widowControl/>
        <w:kinsoku/>
        <w:wordWrap/>
        <w:overflowPunct/>
        <w:topLinePunct w:val="0"/>
        <w:autoSpaceDE/>
        <w:autoSpaceDN/>
        <w:bidi w:val="0"/>
        <w:adjustRightInd/>
        <w:snapToGrid/>
        <w:spacing w:before="120" w:after="120" w:line="240" w:lineRule="auto"/>
        <w:ind w:left="-800" w:leftChars="-400" w:right="-1000" w:rightChars="-500" w:firstLine="998" w:firstLineChars="38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Bộ phận                        :……………………..</w:t>
      </w:r>
    </w:p>
    <w:p>
      <w:pPr>
        <w:keepNext w:val="0"/>
        <w:keepLines w:val="0"/>
        <w:pageBreakBefore w:val="0"/>
        <w:widowControl/>
        <w:kinsoku/>
        <w:wordWrap/>
        <w:overflowPunct/>
        <w:topLinePunct w:val="0"/>
        <w:autoSpaceDE/>
        <w:autoSpaceDN/>
        <w:bidi w:val="0"/>
        <w:adjustRightInd/>
        <w:snapToGrid/>
        <w:spacing w:before="120" w:after="120" w:line="240" w:lineRule="auto"/>
        <w:ind w:left="-800" w:leftChars="-400" w:right="-1000" w:rightChars="-500" w:firstLine="998" w:firstLineChars="384"/>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Phòng, ban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sang làm việc ở vị trí công việc……….thuộc bộ phận…….., Phòng ban………. trong thời hạn………..ngày (thời hạn chuyển Người lao động làm công việc khác không được quá 60 ngày cộng dồn trong 01 năm hoặc có thể là một thời hạn dài hơn nhưng phải được sự đồng ý bằng văn bản của Người lao động] kể từ [ngày] [tháng] [năm] đến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02" w:leftChars="-401" w:right="-1000" w:rightChars="-500" w:firstLine="400" w:firstLineChars="154"/>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Lý do điều chuyển: [Công ty gặp khó khăn đột xuất do thiên tai, hoả hoạn, dịch bệnh nguy hiểm, áp dụng biện pháp ngăn ngừa, khắc phục tai nạn lao động, bệnh nghề nghiệp, sự cố điện, nước hoặc do nhu cầu sản xuất, kinh doanh.]</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514" w:leftChars="-200" w:right="-1000" w:rightChars="-500" w:hanging="914" w:hangingChars="3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2:</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sẽ được nhận tiền lương và các chế độ phúc lợi theo công việc mới như sau:</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 Mức lương            :………Đồng Việt Nam /tháng,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(ii) Phụ cấp lương (nếu có)  : ……..Đồng Việt Nam/tháng;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(iii) Các khoản bổ sung khác :……….Đồng Việt Nam/tháng.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có)</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99" w:leftChars="198" w:right="-1000" w:rightChars="-500" w:hanging="3"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có thể áp dụng tiền lương cũ hoặc tiền lương mới cho Người lao động. Tuy nhiên, nếu áp dụng tiền lương mới mà tiền lương mới thấp hơn tiền lương công việc cũ thì Công ty sẽ giữ nguyên tiền lương cũ cho Người lao động trong thời hạn 30 ngày làm việc kể từ ngày chuyển công việc. Hết thời hạn này, Công ty mới có quyền áp dụng tiền lương mới và tiền lương này phải ít nhất bằng 85% mức tiền lương công việc cũ nhưng không thấp hơn mức lương tối thiểu vùng do Chính phủ quy định tại thời điểm đó].</w:t>
      </w: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left="408" w:leftChars="0" w:right="-1000" w:rightChars="-500" w:hanging="408" w:hangingChars="157"/>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(iv) Bảo hiểm bắt buộc: Công ty sẽ tham gia các loại bảo hiểm bắt buộc cho Người lao động theo quy định của pháp luật lao động hiện hành trong thời gian Người lao động chuyển sang làm công việc khác.</w:t>
      </w: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left="514" w:leftChars="-200" w:right="-1000" w:rightChars="-500" w:hanging="914" w:hangingChars="35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3:</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[Giám đốc] [Trưởng phòng] Nhân sự, các bộ phận và phòng, ban có liên quan của Công ty có trách nhiệm thi hành Quyết định này.</w:t>
      </w: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left="514" w:leftChars="-200" w:right="-1000" w:rightChars="-500" w:hanging="914" w:hangingChars="35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4:</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Quyết định này được lập thành 02 (hai) bản gốc và có hiệu lực kể từ ngày ký, trong đó 01 (một) bản gốc sẽ được lưu tại Công ty và 01 (một) bản gốc sẽ được giao cho Người lao động để thực hiện.</w:t>
      </w: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right="-1000" w:rightChars="-500" w:firstLine="1305" w:firstLineChars="500"/>
        <w:jc w:val="both"/>
        <w:rPr>
          <w:rFonts w:hint="default" w:ascii="Times New Roman" w:hAnsi="Times New Roman"/>
          <w:b/>
          <w:bCs/>
          <w:i w:val="0"/>
          <w:iCs w:val="0"/>
          <w:color w:val="000000" w:themeColor="text1"/>
          <w:sz w:val="26"/>
          <w:szCs w:val="26"/>
          <w:lang w:val="en-US"/>
          <w14:textFill>
            <w14:solidFill>
              <w14:schemeClr w14:val="tx1"/>
            </w14:solidFill>
          </w14:textFill>
        </w:rPr>
      </w:pPr>
      <w:bookmarkStart w:id="3" w:name="_GoBack"/>
      <w:bookmarkEnd w:id="3"/>
      <w:r>
        <w:rPr>
          <w:rFonts w:hint="default" w:ascii="Times New Roman" w:hAnsi="Times New Roman"/>
          <w:b/>
          <w:bCs/>
          <w:i w:val="0"/>
          <w:iCs w:val="0"/>
          <w:color w:val="000000" w:themeColor="text1"/>
          <w:sz w:val="26"/>
          <w:szCs w:val="26"/>
          <w:lang w:val="en-US"/>
          <w14:textFill>
            <w14:solidFill>
              <w14:schemeClr w14:val="tx1"/>
            </w14:solidFill>
          </w14:textFill>
        </w:rPr>
        <w:t>Thay mặt và đại diện cho Công ty……….</w:t>
      </w: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787264" behindDoc="0" locked="0" layoutInCell="1" allowOverlap="1">
                <wp:simplePos x="0" y="0"/>
                <wp:positionH relativeFrom="column">
                  <wp:posOffset>1425575</wp:posOffset>
                </wp:positionH>
                <wp:positionV relativeFrom="paragraph">
                  <wp:posOffset>185420</wp:posOffset>
                </wp:positionV>
                <wp:extent cx="2241550" cy="6350"/>
                <wp:effectExtent l="0" t="4445" r="6350" b="8255"/>
                <wp:wrapNone/>
                <wp:docPr id="62" name="Straight Connector 62"/>
                <wp:cNvGraphicFramePr/>
                <a:graphic xmlns:a="http://schemas.openxmlformats.org/drawingml/2006/main">
                  <a:graphicData uri="http://schemas.microsoft.com/office/word/2010/wordprocessingShape">
                    <wps:wsp>
                      <wps:cNvCnPr/>
                      <wps:spPr>
                        <a:xfrm>
                          <a:off x="2613025" y="5781675"/>
                          <a:ext cx="2241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2.25pt;margin-top:14.6pt;height:0.5pt;width:176.5pt;z-index:251787264;mso-width-relative:page;mso-height-relative:page;" filled="f" stroked="t" coordsize="21600,21600" o:gfxdata="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cMUCE1wAAAAkBAAAPAAAAAAAAAAEAIAAAACIAAABkcnMvZG93bnJl&#10;di54bWxQSwECFAAUAAAACACHTuJAa6w1B8UBAAB3AwAADgAAAAAAAAABACAAAAAmAQAAZHJzL2Uy&#10;b0RvYy54bWxQSwUGAAAAAAYABgBZAQAAXQUAAAAA&#10;">
                <v:fill on="f" focussize="0,0"/>
                <v:stroke weight="0.5pt" color="#000000 [3200]" miterlimit="8" joinstyle="miter"/>
                <v:imagedata o:title=""/>
                <o:lock v:ext="edit" aspectratio="f"/>
              </v:line>
            </w:pict>
          </mc:Fallback>
        </mc:AlternateContent>
      </w:r>
    </w:p>
    <w:p>
      <w:pPr>
        <w:numPr>
          <w:ilvl w:val="0"/>
          <w:numId w:val="0"/>
        </w:numPr>
        <w:ind w:right="-1000" w:rightChars="-50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numPr>
          <w:ilvl w:val="0"/>
          <w:numId w:val="0"/>
        </w:numPr>
        <w:ind w:right="-1000" w:rightChars="-500" w:firstLine="3510" w:firstLineChars="135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numPr>
          <w:ilvl w:val="0"/>
          <w:numId w:val="0"/>
        </w:numPr>
        <w:ind w:right="-1000" w:rightChars="-500" w:firstLine="3510" w:firstLineChars="1350"/>
        <w:jc w:val="both"/>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[Chức vụ]</w:t>
      </w:r>
    </w:p>
    <w:p>
      <w:pPr>
        <w:ind w:right="-1070" w:rightChars="-535"/>
      </w:pPr>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63602"/>
    <w:rsid w:val="1D063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2023-07-07T03:35:00Z</dcterms:created>
  <dc:creator>Hảo Thanh</dc:creator>
  <cp:lastModifiedBy>Hảo Thanh</cp:lastModifiedBy>
  <dcterms:modified xsi:type="dcterms:W3CDTF">2023-07-07T03:37:26Z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